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2AF7" w14:textId="47986360" w:rsidR="007A4E17" w:rsidRDefault="00887214">
      <w:pPr>
        <w:jc w:val="center"/>
      </w:pPr>
      <w:r>
        <w:t xml:space="preserve"> </w:t>
      </w:r>
      <w:r w:rsidR="00000000">
        <w:rPr>
          <w:noProof/>
        </w:rPr>
        <w:drawing>
          <wp:inline distT="0" distB="0" distL="0" distR="0" wp14:anchorId="4867A454" wp14:editId="4B1803AE">
            <wp:extent cx="2865755" cy="943788"/>
            <wp:effectExtent l="0" t="0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94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A3D3D" w14:textId="77777777" w:rsidR="007A4E17" w:rsidRDefault="00000000">
      <w:pPr>
        <w:pStyle w:val="Ttulo"/>
      </w:pPr>
      <w:r>
        <w:t>Bolet</w:t>
      </w:r>
      <w:r>
        <w:t>í</w:t>
      </w:r>
      <w:r>
        <w:t>n SMART Forense para Am</w:t>
      </w:r>
      <w:r>
        <w:t>é</w:t>
      </w:r>
      <w:r>
        <w:t>rica Latina y el Caribe Vol. 7</w:t>
      </w:r>
    </w:p>
    <w:p w14:paraId="798C4292" w14:textId="77777777" w:rsidR="007A4E17" w:rsidRDefault="00000000">
      <w:pPr>
        <w:pStyle w:val="a9"/>
      </w:pPr>
      <w:r>
        <w:t xml:space="preserve">Programa SMART Forense </w:t>
      </w:r>
    </w:p>
    <w:p w14:paraId="14E2CD28" w14:textId="77777777" w:rsidR="007A4E17" w:rsidRDefault="00000000">
      <w:pPr>
        <w:pStyle w:val="a9"/>
      </w:pPr>
      <w:r>
        <w:t>25 de septiembre de 2025</w:t>
      </w:r>
    </w:p>
    <w:p w14:paraId="5BE54395" w14:textId="77777777" w:rsidR="007A4E17" w:rsidRDefault="00000000" w:rsidP="000A4E13">
      <w:pPr>
        <w:pStyle w:val="Ttulo1"/>
        <w:jc w:val="both"/>
      </w:pPr>
      <w:r>
        <w:t>Acerca de este bolet</w:t>
      </w:r>
      <w:r>
        <w:t>í</w:t>
      </w:r>
      <w:r>
        <w:t>n</w:t>
      </w:r>
    </w:p>
    <w:p w14:paraId="055E92FC" w14:textId="77777777" w:rsidR="007A4E17" w:rsidRDefault="00000000" w:rsidP="000A4E13">
      <w:pPr>
        <w:pStyle w:val="a"/>
        <w:jc w:val="both"/>
      </w:pPr>
      <w:r>
        <w:t xml:space="preserve">Este boletín es elaborado por el Laboratorio y Servicios Científicos de la UNODC a través de su Programa SMART Forense. El boletín ofrece una visión general actualizada sobre los nuevos desafíos emergentes relacionados con las drogas en América Latina y el Caribe, incluyendo las nuevas sustancias psicoactivas (NSP) y el mercado de drogas sintéticas en la región. Los datos se basan en actualizaciones del </w:t>
      </w:r>
      <w:hyperlink r:id="rId6">
        <w:r>
          <w:rPr>
            <w:rStyle w:val="a3"/>
          </w:rPr>
          <w:t>Sistema de Alerta Temprana (EWA) de la UNODC sobre NSP</w:t>
        </w:r>
      </w:hyperlink>
      <w:r>
        <w:t>, comunicaciones con agencias nacionales de drogas en la región, así como información de la red Red-</w:t>
      </w:r>
      <w:proofErr w:type="spellStart"/>
      <w:r>
        <w:t>lab</w:t>
      </w:r>
      <w:proofErr w:type="spellEnd"/>
      <w:r>
        <w:t>. </w:t>
      </w:r>
    </w:p>
    <w:p w14:paraId="18397796" w14:textId="77777777" w:rsidR="007A4E17" w:rsidRDefault="007A4E17" w:rsidP="000A4E13">
      <w:pPr>
        <w:pStyle w:val="a"/>
        <w:jc w:val="both"/>
      </w:pPr>
    </w:p>
    <w:p w14:paraId="6FAD6525" w14:textId="77777777" w:rsidR="007A4E17" w:rsidRDefault="00000000" w:rsidP="000A4E13">
      <w:pPr>
        <w:pStyle w:val="a"/>
        <w:jc w:val="both"/>
      </w:pPr>
      <w:r>
        <w:rPr>
          <w:rStyle w:val="a1"/>
        </w:rPr>
        <w:t>Exclusivamente para uso oficial</w:t>
      </w:r>
    </w:p>
    <w:p w14:paraId="6A0E2A5C" w14:textId="77777777" w:rsidR="007A4E17" w:rsidRDefault="00000000" w:rsidP="000A4E13">
      <w:pPr>
        <w:pStyle w:val="Ttulo2"/>
        <w:jc w:val="both"/>
      </w:pPr>
      <w:r>
        <w:rPr>
          <w:rStyle w:val="a1"/>
        </w:rPr>
        <w:t>En este boletín</w:t>
      </w:r>
    </w:p>
    <w:p w14:paraId="3C7BF73F" w14:textId="77777777" w:rsidR="007A4E17" w:rsidRDefault="00000000" w:rsidP="000A4E13">
      <w:pPr>
        <w:pStyle w:val="a"/>
        <w:numPr>
          <w:ilvl w:val="0"/>
          <w:numId w:val="1"/>
        </w:numPr>
        <w:jc w:val="both"/>
      </w:pPr>
      <w:r>
        <w:t>Últimas tendencias de NSP en América Latina y el Caribe</w:t>
      </w:r>
    </w:p>
    <w:p w14:paraId="7AC8EDF8" w14:textId="77777777" w:rsidR="007A4E17" w:rsidRDefault="00000000" w:rsidP="000A4E13">
      <w:pPr>
        <w:pStyle w:val="a"/>
        <w:numPr>
          <w:ilvl w:val="0"/>
          <w:numId w:val="1"/>
        </w:numPr>
        <w:jc w:val="both"/>
      </w:pPr>
      <w:r>
        <w:t>Sistema de Alerta Temprana de la UNODC: Mensajes de alerta temprana</w:t>
      </w:r>
    </w:p>
    <w:p w14:paraId="095E4B3E" w14:textId="77777777" w:rsidR="007A4E17" w:rsidRDefault="00000000" w:rsidP="000A4E13">
      <w:pPr>
        <w:pStyle w:val="a"/>
        <w:numPr>
          <w:ilvl w:val="0"/>
          <w:numId w:val="1"/>
        </w:numPr>
        <w:jc w:val="both"/>
      </w:pPr>
      <w:r>
        <w:t>Alertas Tempranas de América Latina y el Caribe</w:t>
      </w:r>
    </w:p>
    <w:p w14:paraId="01793EA7" w14:textId="77777777" w:rsidR="007A4E17" w:rsidRDefault="00000000" w:rsidP="000A4E13">
      <w:pPr>
        <w:pStyle w:val="a"/>
        <w:numPr>
          <w:ilvl w:val="0"/>
          <w:numId w:val="1"/>
        </w:numPr>
        <w:jc w:val="both"/>
      </w:pPr>
      <w:r>
        <w:t>Variedad de drogas sintéticas detectadas en productos gomosos (“gomitas”) </w:t>
      </w:r>
    </w:p>
    <w:p w14:paraId="236537D4" w14:textId="77777777" w:rsidR="007A4E17" w:rsidRDefault="00000000" w:rsidP="000A4E13">
      <w:pPr>
        <w:pStyle w:val="a"/>
        <w:numPr>
          <w:ilvl w:val="0"/>
          <w:numId w:val="1"/>
        </w:numPr>
        <w:jc w:val="both"/>
      </w:pPr>
      <w:r>
        <w:t>Buenas prácticas </w:t>
      </w:r>
    </w:p>
    <w:p w14:paraId="7D1B8B77" w14:textId="77777777" w:rsidR="007A4E17" w:rsidRDefault="00000000" w:rsidP="000A4E13">
      <w:pPr>
        <w:pStyle w:val="a"/>
        <w:numPr>
          <w:ilvl w:val="0"/>
          <w:numId w:val="1"/>
        </w:numPr>
        <w:jc w:val="both"/>
      </w:pPr>
      <w:r>
        <w:t>Red-</w:t>
      </w:r>
      <w:proofErr w:type="spellStart"/>
      <w:r>
        <w:t>lab</w:t>
      </w:r>
      <w:proofErr w:type="spellEnd"/>
      <w:r>
        <w:t>: Red de laboratorios</w:t>
      </w:r>
    </w:p>
    <w:p w14:paraId="24C25C91" w14:textId="77777777" w:rsidR="007A4E17" w:rsidRDefault="00000000" w:rsidP="000A4E13">
      <w:pPr>
        <w:pStyle w:val="a"/>
        <w:numPr>
          <w:ilvl w:val="0"/>
          <w:numId w:val="1"/>
        </w:numPr>
        <w:jc w:val="both"/>
      </w:pPr>
      <w:r>
        <w:t>Eventos recientes</w:t>
      </w:r>
    </w:p>
    <w:p w14:paraId="4F65DA00" w14:textId="77777777" w:rsidR="007A4E17" w:rsidRDefault="00000000" w:rsidP="000A4E13">
      <w:pPr>
        <w:pStyle w:val="a"/>
        <w:numPr>
          <w:ilvl w:val="0"/>
          <w:numId w:val="1"/>
        </w:numPr>
        <w:jc w:val="both"/>
      </w:pPr>
      <w:r>
        <w:t>Eventos futuros</w:t>
      </w:r>
    </w:p>
    <w:p w14:paraId="11691C1A" w14:textId="77777777" w:rsidR="007A4E17" w:rsidRDefault="00000000" w:rsidP="000A4E13">
      <w:pPr>
        <w:pStyle w:val="a"/>
        <w:numPr>
          <w:ilvl w:val="0"/>
          <w:numId w:val="1"/>
        </w:numPr>
        <w:jc w:val="both"/>
      </w:pPr>
      <w:r>
        <w:lastRenderedPageBreak/>
        <w:t>Boletines informativos anteriores </w:t>
      </w:r>
    </w:p>
    <w:p w14:paraId="302C34DD" w14:textId="63C82715" w:rsidR="007A4E17" w:rsidRDefault="00000000" w:rsidP="000A4E13">
      <w:pPr>
        <w:pStyle w:val="a"/>
        <w:jc w:val="both"/>
      </w:pPr>
      <w:r>
        <w:rPr>
          <w:rStyle w:val="a2"/>
        </w:rPr>
        <w:t> </w:t>
      </w:r>
    </w:p>
    <w:p w14:paraId="2AF4D66E" w14:textId="77777777" w:rsidR="007A4E17" w:rsidRDefault="00000000" w:rsidP="000A4E13">
      <w:pPr>
        <w:pStyle w:val="Ttulo1"/>
        <w:jc w:val="both"/>
      </w:pPr>
      <w:r>
        <w:t>Buenas pr</w:t>
      </w:r>
      <w:r>
        <w:t>á</w:t>
      </w:r>
      <w:r>
        <w:t>cticas</w:t>
      </w:r>
    </w:p>
    <w:p w14:paraId="0DD31321" w14:textId="77777777" w:rsidR="007A4E17" w:rsidRDefault="00000000" w:rsidP="000A4E13">
      <w:pPr>
        <w:pStyle w:val="Ttulo2"/>
        <w:jc w:val="both"/>
      </w:pPr>
      <w:r>
        <w:rPr>
          <w:rStyle w:val="a1"/>
        </w:rPr>
        <w:t>Sistema de Alerta Temprana de Argentina: historia de éxito a través de la cultura de cooperación e intercambio</w:t>
      </w:r>
    </w:p>
    <w:p w14:paraId="7591924E" w14:textId="77777777" w:rsidR="007A4E17" w:rsidRDefault="00000000" w:rsidP="000A4E13">
      <w:pPr>
        <w:pStyle w:val="a"/>
        <w:jc w:val="both"/>
      </w:pPr>
      <w:r>
        <w:t>El éxito del Sistema de Alerta Temprana (SAT) de Argentina se basa en una sólida cultura de cooperación e intercambio, así como en la confianza mutua entre las agencias nacionales y provinciales, integrando la ciencia forense, la inteligencia estratégica y el compromiso político sostenido. Dos hitos clave impulsaron este progreso:  </w:t>
      </w:r>
    </w:p>
    <w:p w14:paraId="6CA6B8D0" w14:textId="77777777" w:rsidR="007A4E17" w:rsidRDefault="00000000" w:rsidP="000A4E13">
      <w:pPr>
        <w:pStyle w:val="a"/>
        <w:jc w:val="both"/>
      </w:pPr>
      <w:r>
        <w:t xml:space="preserve">En primer lugar, </w:t>
      </w:r>
      <w:r>
        <w:rPr>
          <w:rStyle w:val="a2"/>
        </w:rPr>
        <w:t>mejorar la coordinación técnica</w:t>
      </w:r>
      <w:r>
        <w:t xml:space="preserve"> entre la Secretaría de Lucha contra el Narcotráfico y la Delincuencia Organizada del Ministerio de Seguridad Nacional y la Secretaría de Política Integral sobre Drogas de Argentina dependiente del Ministerio de Salud: demostrando que la integración de capacidades técnicas y el trabajo coordinado son pilares esenciales para garantizar una respuesta eficaz y oportuna a los desafíos que plantean las NSP. </w:t>
      </w:r>
    </w:p>
    <w:p w14:paraId="331761D1" w14:textId="2B00068D" w:rsidR="007A4E17" w:rsidRDefault="007A4E17" w:rsidP="000A4E13">
      <w:pPr>
        <w:pStyle w:val="a"/>
        <w:jc w:val="both"/>
      </w:pPr>
    </w:p>
    <w:p w14:paraId="23105B81" w14:textId="77777777" w:rsidR="007A4E17" w:rsidRDefault="00000000" w:rsidP="000A4E13">
      <w:pPr>
        <w:pStyle w:val="Ttulo2"/>
        <w:jc w:val="both"/>
      </w:pPr>
      <w:r>
        <w:rPr>
          <w:rStyle w:val="a1"/>
        </w:rPr>
        <w:t>Consejo Nacional de Drogas de República Dominicana - Escuela de Formación en Políticas de Drogas </w:t>
      </w:r>
    </w:p>
    <w:p w14:paraId="45932FC4" w14:textId="77777777" w:rsidR="007A4E17" w:rsidRDefault="00000000" w:rsidP="000A4E13">
      <w:pPr>
        <w:pStyle w:val="a"/>
        <w:jc w:val="both"/>
      </w:pPr>
      <w:r>
        <w:t>El Consejo Nacional de Drogas de República Dominicana realizó un total de 25 conferencias y clases magistrales sobre diferentes temas relacionados con los problemas de drogas a través de su Escuela de Formación en Políticas de Drogas en 2024 y 2025. Los temas clave incluyeron drogas sintéticas, prevención y tratamiento comunitario del consumo de drogas, políticas públicas en prevención de drogas, identificación de sustancias psicoactivas en aguas residuales, vapeo: un problema de salud o impacto de las drogas en la salud mental, entre otros. Estas sesiones beneficiaron a 901 participantes de varias instituciones y universidades nacionales.</w:t>
      </w:r>
    </w:p>
    <w:p w14:paraId="3A9C4C1E" w14:textId="77777777" w:rsidR="007A4E17" w:rsidRDefault="00000000" w:rsidP="000A4E13">
      <w:pPr>
        <w:jc w:val="both"/>
      </w:pPr>
      <w:r>
        <w:rPr>
          <w:noProof/>
        </w:rPr>
        <w:drawing>
          <wp:inline distT="0" distB="0" distL="0" distR="0" wp14:anchorId="0B0C7719" wp14:editId="7841A3BD">
            <wp:extent cx="2865755" cy="1908247"/>
            <wp:effectExtent l="0" t="0" r="0" b="0"/>
            <wp:docPr id="1108898755" name="Picture4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190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0F38B" w14:textId="77777777" w:rsidR="007A4E17" w:rsidRDefault="00000000" w:rsidP="000A4E13">
      <w:pPr>
        <w:pStyle w:val="Ttulo2"/>
        <w:jc w:val="both"/>
      </w:pPr>
      <w:r>
        <w:rPr>
          <w:rStyle w:val="a1"/>
        </w:rPr>
        <w:lastRenderedPageBreak/>
        <w:t>Guatemala amplía la lista de precursores y sustancias químicas para prevenir la fabricación de fentanilo y NSP</w:t>
      </w:r>
    </w:p>
    <w:p w14:paraId="202BCA67" w14:textId="4803E16C" w:rsidR="007A4E17" w:rsidRDefault="00000000" w:rsidP="000A4E13">
      <w:pPr>
        <w:pStyle w:val="a"/>
        <w:jc w:val="both"/>
      </w:pPr>
      <w:r>
        <w:t xml:space="preserve">El 23 de junio de 2025, el Ministerio de Salud Pública y Asistencia Social emitió un </w:t>
      </w:r>
      <w:hyperlink r:id="rId8">
        <w:r>
          <w:rPr>
            <w:rStyle w:val="a3"/>
          </w:rPr>
          <w:t>Acuerdo Ministerial 174-2025</w:t>
        </w:r>
      </w:hyperlink>
      <w:r>
        <w:t xml:space="preserve"> para aumentar el número de precursores y sustancias químicas incluidas en las </w:t>
      </w:r>
      <w:hyperlink r:id="rId9">
        <w:r>
          <w:rPr>
            <w:rStyle w:val="a3"/>
          </w:rPr>
          <w:t>Listas I a III</w:t>
        </w:r>
      </w:hyperlink>
      <w:r>
        <w:t>. Esta actualización regulatoria es una respuesta a la amenaza de las importaciones de precursores utilizados para fabricar drogas sintéticas</w:t>
      </w:r>
      <w:hyperlink r:id="rId10" w:anchor="_edn1">
        <w:r>
          <w:rPr>
            <w:rStyle w:val="a3"/>
          </w:rPr>
          <w:t>[1]</w:t>
        </w:r>
      </w:hyperlink>
      <w:r>
        <w:t xml:space="preserve"> y entró en vigencia el 28 de junio de 2025.</w:t>
      </w:r>
      <w:r w:rsidR="000A4E13">
        <w:t xml:space="preserve"> </w:t>
      </w:r>
    </w:p>
    <w:p w14:paraId="77CC5C19" w14:textId="77777777" w:rsidR="007A4E17" w:rsidRDefault="00000000" w:rsidP="000A4E13">
      <w:pPr>
        <w:pStyle w:val="Ttulo1"/>
        <w:jc w:val="both"/>
      </w:pPr>
      <w:r>
        <w:t>Red-</w:t>
      </w:r>
      <w:proofErr w:type="spellStart"/>
      <w:r>
        <w:t>Lab</w:t>
      </w:r>
      <w:proofErr w:type="spellEnd"/>
      <w:r>
        <w:t>: Red de laboratorios</w:t>
      </w:r>
    </w:p>
    <w:p w14:paraId="75F62F07" w14:textId="072CB067" w:rsidR="007A4E17" w:rsidRDefault="00000000" w:rsidP="000A4E13">
      <w:pPr>
        <w:pStyle w:val="a"/>
        <w:jc w:val="both"/>
      </w:pPr>
      <w:r>
        <w:t>Red-</w:t>
      </w:r>
      <w:proofErr w:type="spellStart"/>
      <w:r>
        <w:t>lab</w:t>
      </w:r>
      <w:proofErr w:type="spellEnd"/>
      <w:r>
        <w:t xml:space="preserve"> es una red informal de expertos forenses de laboratorios de América Latina y el Caribe para colaborar, intercambiar experiencias, buenas prácticas y lecciones aprendidas. La red cuenta actualmente con miembros de los siguientes países en la región: Argentina, Barbados, Bolivia, Brasil, Chile, Colombia, Costa Rica, Ecuador, El Salvador, Guatemala, Honduras, México, Nicaragua, Panamá, Paraguay, Perú, República Dominicana y Uruguay.</w:t>
      </w:r>
    </w:p>
    <w:p w14:paraId="00771ACE" w14:textId="2611D205" w:rsidR="007A4E17" w:rsidRDefault="007A4E17" w:rsidP="000A4E13">
      <w:pPr>
        <w:jc w:val="both"/>
      </w:pPr>
    </w:p>
    <w:p w14:paraId="744BFCAB" w14:textId="58780F12" w:rsidR="007A4E17" w:rsidRDefault="007A4E17" w:rsidP="000A4E13">
      <w:pPr>
        <w:jc w:val="both"/>
      </w:pPr>
    </w:p>
    <w:p w14:paraId="03F0CFFC" w14:textId="10E71376" w:rsidR="007A4E17" w:rsidRDefault="007A4E17" w:rsidP="000A4E13">
      <w:pPr>
        <w:jc w:val="both"/>
      </w:pPr>
    </w:p>
    <w:sectPr w:rsidR="007A4E1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7E6"/>
    <w:multiLevelType w:val="hybridMultilevel"/>
    <w:tmpl w:val="75ACC106"/>
    <w:lvl w:ilvl="0" w:tplc="794495D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E12C0436" w:tentative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A1C5922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DE3A17EE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7C5433F6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D85CD80C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F5B493C0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A08A4D7E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37AE7A88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8654844"/>
    <w:multiLevelType w:val="hybridMultilevel"/>
    <w:tmpl w:val="F3BC39B2"/>
    <w:lvl w:ilvl="0" w:tplc="DB2EF3B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9FE9604" w:tentative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AD2ACBDC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5C8E3D9C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D6146416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21B22CA2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ACE2F038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519E8752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D474E132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8D038D4"/>
    <w:multiLevelType w:val="hybridMultilevel"/>
    <w:tmpl w:val="9C90BA58"/>
    <w:lvl w:ilvl="0" w:tplc="7C5AED6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D5801EBE" w:tentative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BF884B3C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AA1216F8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8A127BC6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DDFC8EDE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47F0235A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A082104E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CD84FB08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4B97B99"/>
    <w:multiLevelType w:val="hybridMultilevel"/>
    <w:tmpl w:val="030AD726"/>
    <w:lvl w:ilvl="0" w:tplc="539E5A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272B520" w:tentative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3286BCF2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FF46D77C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50F427D6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A9129F14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339EA466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720A7632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E5184596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3613458A"/>
    <w:multiLevelType w:val="hybridMultilevel"/>
    <w:tmpl w:val="F926F238"/>
    <w:lvl w:ilvl="0" w:tplc="D826DD2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88BAC660" w:tentative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58AC0FE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6DE0A668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6806385A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5C9C3962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AEC0AB06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99DE69B6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EB26CC48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5B603632"/>
    <w:multiLevelType w:val="hybridMultilevel"/>
    <w:tmpl w:val="9864D616"/>
    <w:lvl w:ilvl="0" w:tplc="82DA433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AEE9994" w:tentative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5A8078D8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8D904002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E0F6EF60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F5068FEC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F044F5A0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C4BE441C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510A694E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5D5851C8"/>
    <w:multiLevelType w:val="hybridMultilevel"/>
    <w:tmpl w:val="700018FA"/>
    <w:lvl w:ilvl="0" w:tplc="A866F39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1486BE92" w:tentative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943439AE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46C0A4B6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489E40D8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273ECADA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80E427D0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AB0ECC0E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CB6A5376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D5C76BB"/>
    <w:multiLevelType w:val="hybridMultilevel"/>
    <w:tmpl w:val="6428E6B8"/>
    <w:lvl w:ilvl="0" w:tplc="C85046A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69273DA" w:tentative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20C77C8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D99A65D4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DFA2F7C6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F96ADFB0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28A8174A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D9AE9E60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3C68E1FC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num w:numId="1" w16cid:durableId="740909441">
    <w:abstractNumId w:val="1"/>
  </w:num>
  <w:num w:numId="2" w16cid:durableId="637682866">
    <w:abstractNumId w:val="6"/>
  </w:num>
  <w:num w:numId="3" w16cid:durableId="851065093">
    <w:abstractNumId w:val="0"/>
  </w:num>
  <w:num w:numId="4" w16cid:durableId="1053625250">
    <w:abstractNumId w:val="7"/>
  </w:num>
  <w:num w:numId="5" w16cid:durableId="1798376695">
    <w:abstractNumId w:val="2"/>
  </w:num>
  <w:num w:numId="6" w16cid:durableId="133329057">
    <w:abstractNumId w:val="4"/>
  </w:num>
  <w:num w:numId="7" w16cid:durableId="455685135">
    <w:abstractNumId w:val="5"/>
  </w:num>
  <w:num w:numId="8" w16cid:durableId="1152336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E17"/>
    <w:rsid w:val="00014CB0"/>
    <w:rsid w:val="000A4E13"/>
    <w:rsid w:val="00262A83"/>
    <w:rsid w:val="002A3A09"/>
    <w:rsid w:val="006514CD"/>
    <w:rsid w:val="007A4E17"/>
    <w:rsid w:val="0088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DC21D"/>
  <w15:docId w15:val="{5EE1B846-C641-4838-BBBD-EC276E5A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rFonts w:ascii="Calibri Light"/>
      <w:color w:val="4472C4" w:themeColor="accent1"/>
      <w:sz w:val="32"/>
    </w:rPr>
  </w:style>
  <w:style w:type="paragraph" w:styleId="Ttulo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rFonts w:ascii="Calibri Light"/>
      <w:color w:val="4472C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unhideWhenUsed/>
    <w:qFormat/>
    <w:rPr>
      <w:rFonts w:ascii="Calibri"/>
    </w:rPr>
  </w:style>
  <w:style w:type="paragraph" w:styleId="Ttulo">
    <w:name w:val="Title"/>
    <w:basedOn w:val="a"/>
    <w:next w:val="a"/>
    <w:uiPriority w:val="10"/>
    <w:qFormat/>
    <w:pPr>
      <w:spacing w:line="240" w:lineRule="auto"/>
      <w:outlineLvl w:val="0"/>
    </w:pPr>
    <w:rPr>
      <w:rFonts w:ascii="Calibri Light"/>
      <w:sz w:val="56"/>
    </w:rPr>
  </w:style>
  <w:style w:type="character" w:customStyle="1" w:styleId="a0">
    <w:unhideWhenUsed/>
    <w:qFormat/>
    <w:rPr>
      <w:rFonts w:ascii="Calibri"/>
      <w:b/>
      <w:i/>
    </w:rPr>
  </w:style>
  <w:style w:type="character" w:customStyle="1" w:styleId="a1">
    <w:unhideWhenUsed/>
    <w:qFormat/>
    <w:rPr>
      <w:rFonts w:ascii="Calibri"/>
      <w:b/>
    </w:rPr>
  </w:style>
  <w:style w:type="character" w:customStyle="1" w:styleId="a2">
    <w:unhideWhenUsed/>
    <w:qFormat/>
    <w:rPr>
      <w:rFonts w:ascii="Calibri"/>
      <w:i/>
    </w:rPr>
  </w:style>
  <w:style w:type="character" w:customStyle="1" w:styleId="a3">
    <w:unhideWhenUsed/>
    <w:qFormat/>
    <w:rPr>
      <w:rFonts w:ascii="Calibri"/>
      <w:color w:val="0563C1" w:themeColor="hyperlink"/>
      <w:u w:val="single"/>
    </w:rPr>
  </w:style>
  <w:style w:type="character" w:customStyle="1" w:styleId="a4">
    <w:unhideWhenUsed/>
    <w:qFormat/>
    <w:rPr>
      <w:rFonts w:ascii="Calibri"/>
      <w:b/>
      <w:color w:val="0563C1" w:themeColor="hyperlink"/>
      <w:u w:val="single"/>
    </w:rPr>
  </w:style>
  <w:style w:type="character" w:customStyle="1" w:styleId="a5">
    <w:unhideWhenUsed/>
    <w:qFormat/>
    <w:rPr>
      <w:rFonts w:ascii="Calibri"/>
      <w:i/>
      <w:color w:val="0563C1" w:themeColor="hyperlink"/>
      <w:u w:val="single"/>
    </w:rPr>
  </w:style>
  <w:style w:type="character" w:customStyle="1" w:styleId="a6">
    <w:unhideWhenUsed/>
    <w:qFormat/>
    <w:rPr>
      <w:rFonts w:ascii="Calibri"/>
      <w:b/>
      <w:i/>
      <w:color w:val="0563C1" w:themeColor="hyperlink"/>
      <w:u w:val="single"/>
    </w:rPr>
  </w:style>
  <w:style w:type="paragraph" w:customStyle="1" w:styleId="a7">
    <w:basedOn w:val="a"/>
    <w:next w:val="a"/>
    <w:unhideWhenUsed/>
    <w:qFormat/>
    <w:pPr>
      <w:spacing w:after="200" w:line="240" w:lineRule="auto"/>
      <w:jc w:val="center"/>
    </w:pPr>
    <w:rPr>
      <w:i/>
      <w:color w:val="44546A" w:themeColor="text2"/>
      <w:sz w:val="18"/>
    </w:rPr>
  </w:style>
  <w:style w:type="paragraph" w:customStyle="1" w:styleId="a8">
    <w:basedOn w:val="a"/>
    <w:next w:val="a"/>
    <w:unhideWhenUsed/>
    <w:qFormat/>
    <w:pPr>
      <w:spacing w:after="0" w:line="240" w:lineRule="auto"/>
    </w:pPr>
    <w:rPr>
      <w:sz w:val="20"/>
    </w:rPr>
  </w:style>
  <w:style w:type="paragraph" w:customStyle="1" w:styleId="a9">
    <w:basedOn w:val="a"/>
    <w:next w:val="a"/>
    <w:unhideWhenUsed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jc w:val="center"/>
    </w:pPr>
    <w:rPr>
      <w:i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4MbRXP62xJGKblSU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odc.org/LSS/Home/NP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unitednations.sharepoint.com/sites/UNODC-DPA-LSS/Shared%20Documents/Projects%20&amp;%20Programmes/Global/J88%20Global%20SMART/Budget/Donor%20Canada/M1-32ADK-001433/Products/SMART%20Forensics%20newsletters%20LAC/Volume%207_Sept_25/SMART%20Forensics%20Newsletter%20for%20LAC%20Vol.%207%20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e.google/4MbRXP62xJGKblSU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650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Escuela 2</cp:lastModifiedBy>
  <cp:revision>8</cp:revision>
  <dcterms:created xsi:type="dcterms:W3CDTF">2025-09-29T13:46:00Z</dcterms:created>
  <dcterms:modified xsi:type="dcterms:W3CDTF">2025-09-29T14:01:00Z</dcterms:modified>
</cp:coreProperties>
</file>